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1937" w14:textId="77777777" w:rsidR="0019312D" w:rsidRPr="002936B6" w:rsidRDefault="0019312D" w:rsidP="0019312D">
      <w:pPr>
        <w:spacing w:line="280" w:lineRule="atLeast"/>
        <w:rPr>
          <w:rFonts w:asciiTheme="majorHAnsi" w:hAnsiTheme="majorHAnsi" w:cstheme="majorHAnsi"/>
          <w:i/>
        </w:rPr>
      </w:pPr>
      <w:r w:rsidRPr="002936B6">
        <w:rPr>
          <w:rFonts w:asciiTheme="majorHAnsi" w:hAnsiTheme="majorHAnsi" w:cstheme="majorHAnsi"/>
          <w:i/>
        </w:rPr>
        <w:t>Medienmitteilung</w:t>
      </w:r>
    </w:p>
    <w:p w14:paraId="38C063F7" w14:textId="4EBFEB10" w:rsidR="0019312D" w:rsidRPr="00944DA7" w:rsidRDefault="00772461" w:rsidP="0019312D">
      <w:pPr>
        <w:spacing w:line="280" w:lineRule="atLeast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Umfrage im</w:t>
      </w:r>
      <w:r w:rsidR="005A1222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584BAC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Gastgewerbe</w:t>
      </w:r>
      <w:r w:rsidR="002B6B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und </w:t>
      </w:r>
      <w:r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in </w:t>
      </w:r>
      <w:r w:rsidR="002B6B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Bäckereien:</w:t>
      </w:r>
      <w:r w:rsidR="00584BAC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2B6B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47 Prozent der Lernenden sind </w:t>
      </w:r>
      <w:r w:rsidR="0076003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oft</w:t>
      </w:r>
      <w:r w:rsidR="002B6B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müde</w:t>
      </w:r>
    </w:p>
    <w:p w14:paraId="57AE7CA9" w14:textId="4A429F6D" w:rsidR="0019312D" w:rsidRPr="00A63213" w:rsidRDefault="0019312D" w:rsidP="0019312D">
      <w:pPr>
        <w:rPr>
          <w:rFonts w:asciiTheme="majorHAnsi" w:hAnsiTheme="majorHAnsi" w:cstheme="majorHAnsi"/>
          <w:b/>
          <w:bCs/>
        </w:rPr>
      </w:pPr>
      <w:r w:rsidRPr="00A63213">
        <w:rPr>
          <w:rFonts w:asciiTheme="majorHAnsi" w:hAnsiTheme="majorHAnsi" w:cstheme="majorHAnsi"/>
        </w:rPr>
        <w:t xml:space="preserve">Luzern, </w:t>
      </w:r>
      <w:r w:rsidR="00CE7154" w:rsidRPr="00A63213">
        <w:rPr>
          <w:rFonts w:asciiTheme="majorHAnsi" w:hAnsiTheme="majorHAnsi" w:cstheme="majorHAnsi"/>
        </w:rPr>
        <w:t>24. Se</w:t>
      </w:r>
      <w:r w:rsidR="00A63213" w:rsidRPr="00A63213">
        <w:rPr>
          <w:rFonts w:asciiTheme="majorHAnsi" w:hAnsiTheme="majorHAnsi" w:cstheme="majorHAnsi"/>
        </w:rPr>
        <w:t>p</w:t>
      </w:r>
      <w:r w:rsidR="00CE7154" w:rsidRPr="00A63213">
        <w:rPr>
          <w:rFonts w:asciiTheme="majorHAnsi" w:hAnsiTheme="majorHAnsi" w:cstheme="majorHAnsi"/>
        </w:rPr>
        <w:t>tember</w:t>
      </w:r>
      <w:r w:rsidRPr="00A63213">
        <w:rPr>
          <w:rFonts w:asciiTheme="majorHAnsi" w:hAnsiTheme="majorHAnsi" w:cstheme="majorHAnsi"/>
        </w:rPr>
        <w:t xml:space="preserve"> 202</w:t>
      </w:r>
      <w:r w:rsidR="00A63213" w:rsidRPr="00A63213">
        <w:rPr>
          <w:rFonts w:asciiTheme="majorHAnsi" w:hAnsiTheme="majorHAnsi" w:cstheme="majorHAnsi"/>
        </w:rPr>
        <w:t>5</w:t>
      </w:r>
      <w:r w:rsidRPr="00A63213">
        <w:rPr>
          <w:rFonts w:asciiTheme="majorHAnsi" w:hAnsiTheme="majorHAnsi" w:cstheme="majorHAnsi"/>
        </w:rPr>
        <w:t xml:space="preserve"> – </w:t>
      </w:r>
      <w:r w:rsidR="00A63213" w:rsidRPr="00A63213">
        <w:rPr>
          <w:rFonts w:asciiTheme="majorHAnsi" w:hAnsiTheme="majorHAnsi" w:cstheme="majorHAnsi"/>
          <w:b/>
          <w:bCs/>
        </w:rPr>
        <w:t>Stress, unregelmässige Arbeitszeiten, soziale Verpflichtungen und gesundheitliche Probleme: Diese Gründe nennen Lernende im Gastgewerbe sowie in der Bäckerei- und Confiseriebranche dafür, dass sie häufig unausgeschlafen zur Arbeit erscheinen</w:t>
      </w:r>
      <w:r w:rsidR="00A63213" w:rsidRPr="00A63213">
        <w:rPr>
          <w:rFonts w:asciiTheme="majorHAnsi" w:hAnsiTheme="majorHAnsi" w:cstheme="majorHAnsi"/>
        </w:rPr>
        <w:t>.</w:t>
      </w:r>
    </w:p>
    <w:p w14:paraId="35B67DDD" w14:textId="34F4022A" w:rsidR="00A63213" w:rsidRPr="00A63213" w:rsidRDefault="00A63213" w:rsidP="00A63213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lang w:eastAsia="de-DE"/>
        </w:rPr>
        <w:t xml:space="preserve">Laut einer aktuellen Umfrage der Arbeitnehmerorganisation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Hotel &amp; Gastro Union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, die vom Forschungsinstitut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Ipsos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durchgeführt wurde, kämpfen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47 Prozent der Lernenden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täglich oder mehrmals pro Woche mit Müdigkeit am Arbeitsplatz. An der Befragung nahmen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759 Lernende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aus den Bereichen Küche, Restauration, Hauswirtschaft, </w:t>
      </w:r>
      <w:r w:rsidR="002B2EB8">
        <w:rPr>
          <w:rFonts w:asciiTheme="majorHAnsi" w:eastAsia="Times New Roman" w:hAnsiTheme="majorHAnsi" w:cstheme="majorHAnsi"/>
          <w:lang w:eastAsia="de-DE"/>
        </w:rPr>
        <w:t xml:space="preserve">Hotel-Administration und </w:t>
      </w:r>
      <w:r w:rsidRPr="00A63213">
        <w:rPr>
          <w:rFonts w:asciiTheme="majorHAnsi" w:eastAsia="Times New Roman" w:hAnsiTheme="majorHAnsi" w:cstheme="majorHAnsi"/>
          <w:lang w:eastAsia="de-DE"/>
        </w:rPr>
        <w:t>Hotelkommunikation sowie Bäckerei-Confiserie teil.</w:t>
      </w:r>
    </w:p>
    <w:p w14:paraId="35074F98" w14:textId="77777777" w:rsidR="00A63213" w:rsidRPr="00A63213" w:rsidRDefault="00A63213" w:rsidP="00A63213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Gründe für die Müdigkeit</w:t>
      </w:r>
    </w:p>
    <w:p w14:paraId="7485388E" w14:textId="77777777" w:rsidR="00A63213" w:rsidRPr="00A63213" w:rsidRDefault="00A63213" w:rsidP="00A63213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lang w:eastAsia="de-DE"/>
        </w:rPr>
        <w:t>Als Hauptursache für ihre Müdigkeit nennen:</w:t>
      </w:r>
    </w:p>
    <w:p w14:paraId="35D7A496" w14:textId="77777777" w:rsidR="00A63213" w:rsidRPr="00A63213" w:rsidRDefault="00A63213" w:rsidP="00A6321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49 Prozent der männlichen Lernenden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sowie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62 Prozent der weiblichen</w:t>
      </w:r>
      <w:r w:rsidRPr="00A63213">
        <w:rPr>
          <w:rFonts w:asciiTheme="majorHAnsi" w:eastAsia="Times New Roman" w:hAnsiTheme="majorHAnsi" w:cstheme="majorHAnsi"/>
          <w:lang w:eastAsia="de-DE"/>
        </w:rPr>
        <w:t>: Stress oder persönliche Sorgen.</w:t>
      </w:r>
    </w:p>
    <w:p w14:paraId="2CD1D1DB" w14:textId="77777777" w:rsidR="00A63213" w:rsidRPr="00A63213" w:rsidRDefault="00A63213" w:rsidP="00A6321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35 Prozent der männlichen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und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34 Prozent der weiblichen Lernenden</w:t>
      </w:r>
      <w:r w:rsidRPr="00A63213">
        <w:rPr>
          <w:rFonts w:asciiTheme="majorHAnsi" w:eastAsia="Times New Roman" w:hAnsiTheme="majorHAnsi" w:cstheme="majorHAnsi"/>
          <w:lang w:eastAsia="de-DE"/>
        </w:rPr>
        <w:t>: Unregelmässige Arbeitszeiten.</w:t>
      </w:r>
    </w:p>
    <w:p w14:paraId="086C7D5A" w14:textId="77777777" w:rsidR="00A63213" w:rsidRPr="00A63213" w:rsidRDefault="00A63213" w:rsidP="00A6321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36 Prozent der männlichen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und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28 Prozent der weiblichen Lernenden</w:t>
      </w:r>
      <w:r w:rsidRPr="00A63213">
        <w:rPr>
          <w:rFonts w:asciiTheme="majorHAnsi" w:eastAsia="Times New Roman" w:hAnsiTheme="majorHAnsi" w:cstheme="majorHAnsi"/>
          <w:lang w:eastAsia="de-DE"/>
        </w:rPr>
        <w:t>: Soziale Aktivitäten oder Verpflichtungen.</w:t>
      </w:r>
    </w:p>
    <w:p w14:paraId="4511A16A" w14:textId="77777777" w:rsidR="00A63213" w:rsidRPr="00A63213" w:rsidRDefault="00A63213" w:rsidP="00A6321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11 Prozent der männlichen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und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21 Prozent der weiblichen Befragten</w:t>
      </w:r>
      <w:r w:rsidRPr="00A63213">
        <w:rPr>
          <w:rFonts w:asciiTheme="majorHAnsi" w:eastAsia="Times New Roman" w:hAnsiTheme="majorHAnsi" w:cstheme="majorHAnsi"/>
          <w:lang w:eastAsia="de-DE"/>
        </w:rPr>
        <w:t>: Gesundheitliche Probleme.</w:t>
      </w:r>
    </w:p>
    <w:p w14:paraId="506A306E" w14:textId="77777777" w:rsidR="00A63213" w:rsidRPr="00A63213" w:rsidRDefault="00A63213" w:rsidP="00A6321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10 Prozent der männlichen Lernenden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geben an, dass langes Gamen am Abend oder in der Nacht zu Müdigkeit bei der Arbeit führt.</w:t>
      </w:r>
    </w:p>
    <w:p w14:paraId="14D0CC66" w14:textId="77777777" w:rsidR="00A63213" w:rsidRPr="00A63213" w:rsidRDefault="00A63213" w:rsidP="00A63213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de-DE"/>
        </w:rPr>
      </w:pP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Forderung nach besseren Schutzmassnahmen</w:t>
      </w:r>
    </w:p>
    <w:p w14:paraId="293E0FC4" w14:textId="44564461" w:rsidR="00A63213" w:rsidRPr="00A63213" w:rsidRDefault="00A63213" w:rsidP="00A63213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«</w:t>
      </w:r>
      <w:r w:rsidRPr="00A63213">
        <w:rPr>
          <w:rFonts w:asciiTheme="majorHAnsi" w:eastAsia="Times New Roman" w:hAnsiTheme="majorHAnsi" w:cstheme="majorHAnsi"/>
          <w:lang w:eastAsia="de-DE"/>
        </w:rPr>
        <w:t>Lernende müssen in den Betrieben besondere Aufmerksamkeit geniessen</w:t>
      </w:r>
      <w:r w:rsidR="002B2EB8">
        <w:rPr>
          <w:rFonts w:asciiTheme="majorHAnsi" w:eastAsia="Times New Roman" w:hAnsiTheme="majorHAnsi" w:cstheme="majorHAnsi"/>
          <w:lang w:eastAsia="de-DE"/>
        </w:rPr>
        <w:t>»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, sagt </w:t>
      </w:r>
      <w:r w:rsidRPr="00A63213">
        <w:rPr>
          <w:rFonts w:asciiTheme="majorHAnsi" w:eastAsia="Times New Roman" w:hAnsiTheme="majorHAnsi" w:cstheme="majorHAnsi"/>
          <w:b/>
          <w:bCs/>
          <w:lang w:eastAsia="de-DE"/>
        </w:rPr>
        <w:t>Roger Lang</w:t>
      </w:r>
      <w:r w:rsidRPr="00A63213">
        <w:rPr>
          <w:rFonts w:asciiTheme="majorHAnsi" w:eastAsia="Times New Roman" w:hAnsiTheme="majorHAnsi" w:cstheme="majorHAnsi"/>
          <w:lang w:eastAsia="de-DE"/>
        </w:rPr>
        <w:t>, Leiter Recht, Sozialpolitik und Kampagnen bei der Hotel &amp; Gastro Union.</w:t>
      </w:r>
    </w:p>
    <w:p w14:paraId="4CEF9A35" w14:textId="3C15F6F5" w:rsidR="00A63213" w:rsidRPr="00A63213" w:rsidRDefault="00A63213" w:rsidP="00A632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>
        <w:rPr>
          <w:rFonts w:asciiTheme="majorHAnsi" w:eastAsia="Times New Roman" w:hAnsiTheme="majorHAnsi" w:cstheme="majorHAnsi"/>
          <w:lang w:eastAsia="de-DE"/>
        </w:rPr>
        <w:t>«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Über die Jugendschutzverordnung sind zwar gesetzliche Mindeststandards geregelt, diese werden aber von den kantonalen Arbeitsinspektoraten zu lasch kontrolliert. In den kommenden Monaten beginnen die Neuverhandlungen über einen neuen Landes-Gesamtarbeitsvertrag für das Gastgewerbe. Dieser </w:t>
      </w:r>
      <w:r w:rsidR="002B21A5">
        <w:rPr>
          <w:rFonts w:asciiTheme="majorHAnsi" w:eastAsia="Times New Roman" w:hAnsiTheme="majorHAnsi" w:cstheme="majorHAnsi"/>
          <w:lang w:eastAsia="de-DE"/>
        </w:rPr>
        <w:t xml:space="preserve">könnte zukünftig auch bessere </w:t>
      </w:r>
      <w:r w:rsidRPr="00A63213">
        <w:rPr>
          <w:rFonts w:asciiTheme="majorHAnsi" w:eastAsia="Times New Roman" w:hAnsiTheme="majorHAnsi" w:cstheme="majorHAnsi"/>
          <w:lang w:eastAsia="de-DE"/>
        </w:rPr>
        <w:t>Gesundheitsschutzbestimmungen für Lernende</w:t>
      </w:r>
      <w:r w:rsidR="002B21A5">
        <w:rPr>
          <w:rFonts w:asciiTheme="majorHAnsi" w:eastAsia="Times New Roman" w:hAnsiTheme="majorHAnsi" w:cstheme="majorHAnsi"/>
          <w:lang w:eastAsia="de-DE"/>
        </w:rPr>
        <w:t xml:space="preserve"> vorsehen, welche die Sozialpartner </w:t>
      </w:r>
      <w:r w:rsidR="00AB40CB">
        <w:rPr>
          <w:rFonts w:asciiTheme="majorHAnsi" w:eastAsia="Times New Roman" w:hAnsiTheme="majorHAnsi" w:cstheme="majorHAnsi"/>
          <w:lang w:eastAsia="de-DE"/>
        </w:rPr>
        <w:t>kontrollieren</w:t>
      </w:r>
      <w:r w:rsidR="002B21A5">
        <w:rPr>
          <w:rFonts w:asciiTheme="majorHAnsi" w:eastAsia="Times New Roman" w:hAnsiTheme="majorHAnsi" w:cstheme="majorHAnsi"/>
          <w:lang w:eastAsia="de-DE"/>
        </w:rPr>
        <w:t>.</w:t>
      </w:r>
      <w:r w:rsidRPr="00A63213">
        <w:rPr>
          <w:rFonts w:asciiTheme="majorHAnsi" w:eastAsia="Times New Roman" w:hAnsiTheme="majorHAnsi" w:cstheme="majorHAnsi"/>
          <w:lang w:eastAsia="de-DE"/>
        </w:rPr>
        <w:t xml:space="preserve"> Wir kämpfen für klare Verbesserungen für Lernende und Ausgelernte – darunter eine bessere Vereinbarkeit von Beruf und Freizeit sowie die frühere Bekanntgabe von Dienstplänen.</w:t>
      </w:r>
      <w:r>
        <w:rPr>
          <w:rFonts w:asciiTheme="majorHAnsi" w:eastAsia="Times New Roman" w:hAnsiTheme="majorHAnsi" w:cstheme="majorHAnsi"/>
          <w:lang w:eastAsia="de-DE"/>
        </w:rPr>
        <w:t>»</w:t>
      </w:r>
    </w:p>
    <w:p w14:paraId="318AFE0E" w14:textId="50987B20" w:rsidR="001A765D" w:rsidRPr="00944DA7" w:rsidRDefault="00F80BA0" w:rsidP="00CE7154">
      <w:pPr>
        <w:pStyle w:val="A31bDEArtikelFliesstextohneEinzugx08DEUTSCHA30DEFliesstext"/>
        <w:jc w:val="left"/>
        <w:rPr>
          <w:rFonts w:asciiTheme="majorHAnsi" w:hAnsiTheme="majorHAnsi" w:cstheme="majorHAnsi"/>
          <w:sz w:val="22"/>
          <w:szCs w:val="22"/>
        </w:rPr>
      </w:pPr>
      <w:r w:rsidRPr="00F80BA0"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7F40CD81" wp14:editId="5C740D79">
            <wp:extent cx="5759450" cy="3874770"/>
            <wp:effectExtent l="0" t="0" r="6350" b="0"/>
            <wp:docPr id="542983349" name="Grafik 1" descr="Ein Bild, das Text, Screenshot, parallel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83349" name="Grafik 1" descr="Ein Bild, das Text, Screenshot, parallel, Reihe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8AA1" w14:textId="77777777" w:rsidR="00F80BA0" w:rsidRDefault="00F80BA0" w:rsidP="001A765D">
      <w:pPr>
        <w:rPr>
          <w:rFonts w:asciiTheme="majorHAnsi" w:hAnsiTheme="majorHAnsi" w:cstheme="majorHAnsi"/>
        </w:rPr>
      </w:pPr>
    </w:p>
    <w:p w14:paraId="3AD054B0" w14:textId="15B25FD3" w:rsidR="0019312D" w:rsidRPr="001A765D" w:rsidRDefault="00CE7154" w:rsidP="001A765D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</w:rPr>
        <w:t>Weitere Ergebnisse der Lernendenbefragung ent</w:t>
      </w:r>
      <w:r w:rsidR="002B2EB8">
        <w:rPr>
          <w:rFonts w:asciiTheme="majorHAnsi" w:hAnsiTheme="majorHAnsi" w:cstheme="majorHAnsi"/>
        </w:rPr>
        <w:t>nehmen</w:t>
      </w:r>
      <w:r>
        <w:rPr>
          <w:rFonts w:asciiTheme="majorHAnsi" w:hAnsiTheme="majorHAnsi" w:cstheme="majorHAnsi"/>
        </w:rPr>
        <w:t xml:space="preserve"> Sie bitte dem aktuellen </w:t>
      </w:r>
      <w:r w:rsidR="00016A16">
        <w:rPr>
          <w:rFonts w:asciiTheme="majorHAnsi" w:hAnsiTheme="majorHAnsi" w:cstheme="majorHAnsi"/>
        </w:rPr>
        <w:t xml:space="preserve">Bericht </w:t>
      </w:r>
      <w:r w:rsidR="002B2EB8">
        <w:rPr>
          <w:rFonts w:asciiTheme="majorHAnsi" w:hAnsiTheme="majorHAnsi" w:cstheme="majorHAnsi"/>
        </w:rPr>
        <w:t xml:space="preserve">in </w:t>
      </w:r>
      <w:r w:rsidR="00016A16">
        <w:rPr>
          <w:rFonts w:asciiTheme="majorHAnsi" w:hAnsiTheme="majorHAnsi" w:cstheme="majorHAnsi"/>
        </w:rPr>
        <w:t>der Hotellerie Gastronomie Zeitung:</w:t>
      </w:r>
      <w:r w:rsidR="00F80BA0">
        <w:rPr>
          <w:rFonts w:asciiTheme="majorHAnsi" w:hAnsiTheme="majorHAnsi" w:cstheme="majorHAnsi"/>
        </w:rPr>
        <w:t xml:space="preserve"> </w:t>
      </w:r>
      <w:hyperlink r:id="rId9" w:history="1">
        <w:r w:rsidR="00016A16" w:rsidRPr="001A765D">
          <w:rPr>
            <w:rFonts w:asciiTheme="majorHAnsi" w:hAnsiTheme="majorHAnsi" w:cstheme="majorHAnsi"/>
            <w:color w:val="0563C1" w:themeColor="hyperlink"/>
            <w:u w:val="single"/>
            <w:lang w:val="en-US"/>
          </w:rPr>
          <w:t>www.hotellerie-gastronomie.ch</w:t>
        </w:r>
      </w:hyperlink>
    </w:p>
    <w:p w14:paraId="7BD853F8" w14:textId="77777777" w:rsidR="008475E4" w:rsidRPr="00016A16" w:rsidRDefault="008475E4" w:rsidP="001A765D">
      <w:pPr>
        <w:pStyle w:val="A31aDEArtikelFliesstextx08DEUTSCHneuA30DEFliesstext"/>
        <w:ind w:firstLine="0"/>
        <w:jc w:val="left"/>
        <w:rPr>
          <w:rFonts w:asciiTheme="majorHAnsi" w:hAnsiTheme="majorHAnsi" w:cstheme="majorHAnsi"/>
          <w:sz w:val="22"/>
          <w:szCs w:val="22"/>
          <w:lang w:val="en-US"/>
        </w:rPr>
      </w:pPr>
    </w:p>
    <w:p w14:paraId="43441E2A" w14:textId="63CBA473" w:rsidR="0019312D" w:rsidRPr="00016A16" w:rsidRDefault="0019312D" w:rsidP="001A765D">
      <w:pPr>
        <w:rPr>
          <w:rFonts w:asciiTheme="majorHAnsi" w:eastAsia="Times New Roman" w:hAnsiTheme="majorHAnsi" w:cstheme="majorHAnsi"/>
          <w:lang w:val="en-US"/>
        </w:rPr>
      </w:pPr>
      <w:r w:rsidRPr="00016A16">
        <w:rPr>
          <w:rFonts w:asciiTheme="majorHAnsi" w:eastAsia="Times New Roman" w:hAnsiTheme="majorHAnsi" w:cstheme="majorHAnsi"/>
          <w:b/>
          <w:bCs/>
          <w:lang w:val="en-US"/>
        </w:rPr>
        <w:t>Medienkontakt Hotel &amp; Gastro Union</w:t>
      </w:r>
      <w:r w:rsidR="008475E4" w:rsidRPr="00016A16">
        <w:rPr>
          <w:rFonts w:asciiTheme="majorHAnsi" w:eastAsia="Times New Roman" w:hAnsiTheme="majorHAnsi" w:cstheme="majorHAnsi"/>
          <w:b/>
          <w:bCs/>
          <w:lang w:val="en-US"/>
        </w:rPr>
        <w:br/>
      </w:r>
      <w:r w:rsidRPr="00016A16">
        <w:rPr>
          <w:rFonts w:asciiTheme="majorHAnsi" w:eastAsia="Times New Roman" w:hAnsiTheme="majorHAnsi" w:cstheme="majorHAnsi"/>
          <w:lang w:val="en-US"/>
        </w:rPr>
        <w:t>Jörg Ruppelt</w:t>
      </w:r>
      <w:r w:rsidR="008475E4" w:rsidRPr="00016A16">
        <w:rPr>
          <w:rFonts w:asciiTheme="majorHAnsi" w:eastAsia="Times New Roman" w:hAnsiTheme="majorHAnsi" w:cstheme="majorHAnsi"/>
          <w:lang w:val="en-US"/>
        </w:rPr>
        <w:t xml:space="preserve">, </w:t>
      </w:r>
      <w:r w:rsidR="008475E4" w:rsidRPr="00016A16">
        <w:rPr>
          <w:rFonts w:asciiTheme="majorHAnsi" w:eastAsia="Times New Roman" w:hAnsiTheme="majorHAnsi" w:cstheme="majorHAnsi"/>
          <w:lang w:val="en-US"/>
        </w:rPr>
        <w:br/>
      </w:r>
      <w:r w:rsidRPr="00016A16">
        <w:rPr>
          <w:rFonts w:asciiTheme="majorHAnsi" w:eastAsia="Times New Roman" w:hAnsiTheme="majorHAnsi" w:cstheme="majorHAnsi"/>
          <w:lang w:val="en-US"/>
        </w:rPr>
        <w:t>Head of Communications</w:t>
      </w:r>
      <w:r w:rsidR="008475E4" w:rsidRPr="00016A16">
        <w:rPr>
          <w:rFonts w:asciiTheme="majorHAnsi" w:eastAsia="Times New Roman" w:hAnsiTheme="majorHAnsi" w:cstheme="majorHAnsi"/>
          <w:lang w:val="en-US"/>
        </w:rPr>
        <w:br/>
      </w:r>
      <w:r w:rsidRPr="00016A16">
        <w:rPr>
          <w:rFonts w:asciiTheme="majorHAnsi" w:eastAsia="Times New Roman" w:hAnsiTheme="majorHAnsi" w:cstheme="majorHAnsi"/>
          <w:lang w:val="en-US"/>
        </w:rPr>
        <w:t>Tel. 041 418 24 57</w:t>
      </w:r>
      <w:r w:rsidR="008475E4" w:rsidRPr="00016A16">
        <w:rPr>
          <w:rFonts w:asciiTheme="majorHAnsi" w:eastAsia="Times New Roman" w:hAnsiTheme="majorHAnsi" w:cstheme="majorHAnsi"/>
          <w:lang w:val="en-US"/>
        </w:rPr>
        <w:br/>
      </w:r>
      <w:r w:rsidRPr="00016A16">
        <w:rPr>
          <w:rFonts w:asciiTheme="majorHAnsi" w:eastAsia="Times New Roman" w:hAnsiTheme="majorHAnsi" w:cstheme="majorHAnsi"/>
          <w:lang w:val="en-US"/>
        </w:rPr>
        <w:t>joerg.ruppelt@hotellerie-gastronomie.ch</w:t>
      </w:r>
    </w:p>
    <w:p w14:paraId="2746167D" w14:textId="77777777" w:rsidR="0019312D" w:rsidRPr="00016A16" w:rsidRDefault="0019312D" w:rsidP="001A765D">
      <w:pPr>
        <w:rPr>
          <w:rFonts w:asciiTheme="majorHAnsi" w:hAnsiTheme="majorHAnsi" w:cstheme="majorHAnsi"/>
          <w:lang w:val="en-US"/>
        </w:rPr>
      </w:pPr>
    </w:p>
    <w:p w14:paraId="013F0AA2" w14:textId="77777777" w:rsidR="001B0126" w:rsidRPr="001A765D" w:rsidRDefault="001B0126" w:rsidP="001A765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A765D">
        <w:rPr>
          <w:rFonts w:asciiTheme="majorHAnsi" w:hAnsiTheme="majorHAnsi" w:cstheme="majorHAnsi"/>
          <w:b/>
          <w:bCs/>
          <w:sz w:val="22"/>
          <w:szCs w:val="22"/>
        </w:rPr>
        <w:t xml:space="preserve">Über die Hotel &amp; Gastro Union </w:t>
      </w:r>
    </w:p>
    <w:p w14:paraId="6A8792E2" w14:textId="5FBB78AB" w:rsidR="001B0126" w:rsidRPr="001A765D" w:rsidRDefault="001B0126" w:rsidP="001A765D">
      <w:pPr>
        <w:rPr>
          <w:rFonts w:asciiTheme="majorHAnsi" w:eastAsia="Times New Roman" w:hAnsiTheme="majorHAnsi" w:cstheme="majorHAnsi"/>
        </w:rPr>
      </w:pPr>
      <w:r w:rsidRPr="001A765D">
        <w:rPr>
          <w:rFonts w:asciiTheme="majorHAnsi" w:eastAsia="Times New Roman" w:hAnsiTheme="majorHAnsi" w:cstheme="majorHAnsi"/>
          <w:color w:val="000000"/>
        </w:rPr>
        <w:t>Die Hotel &amp; Gastro Union ist die Arbeitnehmerorganisation im Schweizer Gastgewerbe, in der Hotellerie und der Bäcker-Konditor-Confiseur-Branche. Sie setzt sich aktiv für berufliche Vernetzung, Aus- und Weiterbildung und soziale Sicherheit ein. Ihr oberstes Ziel ist es, den Stellenwert der gastgewerblichen Berufe zu fördern. Die Hotel &amp; Gastro Union hat knapp 20</w:t>
      </w:r>
      <w:r w:rsidR="006119D0">
        <w:rPr>
          <w:rFonts w:asciiTheme="majorHAnsi" w:eastAsia="Times New Roman" w:hAnsiTheme="majorHAnsi" w:cstheme="majorHAnsi"/>
          <w:color w:val="000000"/>
        </w:rPr>
        <w:t>’</w:t>
      </w:r>
      <w:r w:rsidRPr="001A765D">
        <w:rPr>
          <w:rFonts w:asciiTheme="majorHAnsi" w:eastAsia="Times New Roman" w:hAnsiTheme="majorHAnsi" w:cstheme="majorHAnsi"/>
          <w:color w:val="000000"/>
        </w:rPr>
        <w:t>000 Mitglieder und vereinigt unter ihrem Dach fünf Berufsverbände. Es sind dies der Schweizer Kochverband sowie die Berufsverbände Service</w:t>
      </w:r>
      <w:r w:rsidR="006119D0">
        <w:rPr>
          <w:rFonts w:asciiTheme="majorHAnsi" w:eastAsia="Times New Roman" w:hAnsiTheme="majorHAnsi" w:cstheme="majorHAnsi"/>
          <w:color w:val="000000"/>
        </w:rPr>
        <w:t xml:space="preserve"> </w:t>
      </w:r>
      <w:r w:rsidRPr="001A765D">
        <w:rPr>
          <w:rFonts w:asciiTheme="majorHAnsi" w:eastAsia="Times New Roman" w:hAnsiTheme="majorHAnsi" w:cstheme="majorHAnsi"/>
        </w:rPr>
        <w:t>·</w:t>
      </w:r>
      <w:r w:rsidR="006119D0">
        <w:rPr>
          <w:rFonts w:asciiTheme="majorHAnsi" w:eastAsia="Times New Roman" w:hAnsiTheme="majorHAnsi" w:cstheme="majorHAnsi"/>
        </w:rPr>
        <w:t xml:space="preserve"> </w:t>
      </w:r>
      <w:r w:rsidRPr="001A765D">
        <w:rPr>
          <w:rFonts w:asciiTheme="majorHAnsi" w:eastAsia="Times New Roman" w:hAnsiTheme="majorHAnsi" w:cstheme="majorHAnsi"/>
          <w:color w:val="000000"/>
        </w:rPr>
        <w:t xml:space="preserve">Restauration, Hotellerie &amp; Hauswirtschaft, Hotel Administration &amp; Management sowie Bäckerei &amp; Confiserie. Integriert ist ausserdem der Hotellerie Gastronomie Verlag mit seiner Wochenzeitung, </w:t>
      </w:r>
      <w:r w:rsidR="00A63213">
        <w:rPr>
          <w:rFonts w:asciiTheme="majorHAnsi" w:eastAsia="Times New Roman" w:hAnsiTheme="majorHAnsi" w:cstheme="majorHAnsi"/>
          <w:color w:val="000000"/>
        </w:rPr>
        <w:t>dem Magazin</w:t>
      </w:r>
      <w:r w:rsidRPr="001A765D">
        <w:rPr>
          <w:rFonts w:asciiTheme="majorHAnsi" w:eastAsia="Times New Roman" w:hAnsiTheme="majorHAnsi" w:cstheme="majorHAnsi"/>
          <w:color w:val="000000"/>
        </w:rPr>
        <w:t xml:space="preserve"> sowie der Stellenplattform gastrojob.ch.</w:t>
      </w:r>
    </w:p>
    <w:sectPr w:rsidR="001B0126" w:rsidRPr="001A765D" w:rsidSect="00F86E52">
      <w:headerReference w:type="default" r:id="rId10"/>
      <w:footerReference w:type="default" r:id="rId11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A6CE" w14:textId="77777777" w:rsidR="00927A23" w:rsidRDefault="00927A23" w:rsidP="00F86E52">
      <w:pPr>
        <w:spacing w:after="0"/>
      </w:pPr>
      <w:r>
        <w:separator/>
      </w:r>
    </w:p>
  </w:endnote>
  <w:endnote w:type="continuationSeparator" w:id="0">
    <w:p w14:paraId="2865E00D" w14:textId="77777777" w:rsidR="00927A23" w:rsidRDefault="00927A23" w:rsidP="00F86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hronicle Text G2">
    <w:panose1 w:val="00000000000000000000"/>
    <w:charset w:val="00"/>
    <w:family w:val="auto"/>
    <w:notTrueType/>
    <w:pitch w:val="variable"/>
    <w:sig w:usb0="A100007F" w:usb1="50004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C4DD" w14:textId="77777777" w:rsidR="00F86E52" w:rsidRDefault="00AF112C" w:rsidP="00F86E52">
    <w:pPr>
      <w:pStyle w:val="Fuzeile"/>
      <w:tabs>
        <w:tab w:val="clear" w:pos="4536"/>
        <w:tab w:val="clear" w:pos="9072"/>
        <w:tab w:val="left" w:pos="1348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A82F442" wp14:editId="4CE15CDF">
          <wp:simplePos x="0" y="0"/>
          <wp:positionH relativeFrom="page">
            <wp:align>left</wp:align>
          </wp:positionH>
          <wp:positionV relativeFrom="paragraph">
            <wp:posOffset>-479425</wp:posOffset>
          </wp:positionV>
          <wp:extent cx="7560000" cy="1079405"/>
          <wp:effectExtent l="0" t="0" r="3175" b="6985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AF9F" w14:textId="77777777" w:rsidR="00927A23" w:rsidRDefault="00927A23" w:rsidP="00F86E52">
      <w:pPr>
        <w:spacing w:after="0"/>
      </w:pPr>
      <w:r>
        <w:separator/>
      </w:r>
    </w:p>
  </w:footnote>
  <w:footnote w:type="continuationSeparator" w:id="0">
    <w:p w14:paraId="69F8DF56" w14:textId="77777777" w:rsidR="00927A23" w:rsidRDefault="00927A23" w:rsidP="00F86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E548" w14:textId="77777777" w:rsidR="00F86E52" w:rsidRDefault="00AF112C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64D636E" wp14:editId="61EC1F8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801230"/>
          <wp:effectExtent l="0" t="0" r="3175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E51DF"/>
    <w:multiLevelType w:val="multilevel"/>
    <w:tmpl w:val="56CE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65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2D"/>
    <w:rsid w:val="00016A16"/>
    <w:rsid w:val="00044454"/>
    <w:rsid w:val="000B0AF1"/>
    <w:rsid w:val="00117B5E"/>
    <w:rsid w:val="00131A5C"/>
    <w:rsid w:val="00132F84"/>
    <w:rsid w:val="001916C1"/>
    <w:rsid w:val="0019312D"/>
    <w:rsid w:val="001A765D"/>
    <w:rsid w:val="001B0126"/>
    <w:rsid w:val="001B50DB"/>
    <w:rsid w:val="00237AFB"/>
    <w:rsid w:val="00270AB0"/>
    <w:rsid w:val="00273067"/>
    <w:rsid w:val="002A1E0B"/>
    <w:rsid w:val="002B21A5"/>
    <w:rsid w:val="002B2EB8"/>
    <w:rsid w:val="002B6B46"/>
    <w:rsid w:val="002D0944"/>
    <w:rsid w:val="003A0613"/>
    <w:rsid w:val="003C3B7B"/>
    <w:rsid w:val="003C459B"/>
    <w:rsid w:val="003F3739"/>
    <w:rsid w:val="004205CF"/>
    <w:rsid w:val="0042649B"/>
    <w:rsid w:val="004A67C0"/>
    <w:rsid w:val="004B17F6"/>
    <w:rsid w:val="004B74E6"/>
    <w:rsid w:val="004C6CFF"/>
    <w:rsid w:val="004D326B"/>
    <w:rsid w:val="004F376C"/>
    <w:rsid w:val="005352CB"/>
    <w:rsid w:val="00541F45"/>
    <w:rsid w:val="005456C6"/>
    <w:rsid w:val="00584BAC"/>
    <w:rsid w:val="005A1222"/>
    <w:rsid w:val="005D098F"/>
    <w:rsid w:val="00601851"/>
    <w:rsid w:val="006119D0"/>
    <w:rsid w:val="00704D58"/>
    <w:rsid w:val="0072651D"/>
    <w:rsid w:val="00733EA5"/>
    <w:rsid w:val="00737A11"/>
    <w:rsid w:val="00760039"/>
    <w:rsid w:val="00761FA6"/>
    <w:rsid w:val="00772461"/>
    <w:rsid w:val="00784CB7"/>
    <w:rsid w:val="007E4146"/>
    <w:rsid w:val="00825298"/>
    <w:rsid w:val="008475E4"/>
    <w:rsid w:val="008516CB"/>
    <w:rsid w:val="00887B63"/>
    <w:rsid w:val="008E0924"/>
    <w:rsid w:val="00911AAA"/>
    <w:rsid w:val="00927A23"/>
    <w:rsid w:val="00931085"/>
    <w:rsid w:val="00944DA7"/>
    <w:rsid w:val="00954750"/>
    <w:rsid w:val="00962661"/>
    <w:rsid w:val="00990E77"/>
    <w:rsid w:val="0099678E"/>
    <w:rsid w:val="00A30231"/>
    <w:rsid w:val="00A63213"/>
    <w:rsid w:val="00A77FE1"/>
    <w:rsid w:val="00A92CF4"/>
    <w:rsid w:val="00A9418B"/>
    <w:rsid w:val="00A94C9F"/>
    <w:rsid w:val="00AB40CB"/>
    <w:rsid w:val="00AC51EF"/>
    <w:rsid w:val="00AD1039"/>
    <w:rsid w:val="00AF112C"/>
    <w:rsid w:val="00B70FD0"/>
    <w:rsid w:val="00BA403F"/>
    <w:rsid w:val="00C866A0"/>
    <w:rsid w:val="00C9665F"/>
    <w:rsid w:val="00CE7154"/>
    <w:rsid w:val="00CF5D15"/>
    <w:rsid w:val="00E0367F"/>
    <w:rsid w:val="00E43EC9"/>
    <w:rsid w:val="00E43F47"/>
    <w:rsid w:val="00E4571F"/>
    <w:rsid w:val="00E74D79"/>
    <w:rsid w:val="00F0473C"/>
    <w:rsid w:val="00F056D9"/>
    <w:rsid w:val="00F05F8C"/>
    <w:rsid w:val="00F1027A"/>
    <w:rsid w:val="00F21017"/>
    <w:rsid w:val="00F80BA0"/>
    <w:rsid w:val="00F86E52"/>
    <w:rsid w:val="00FB335A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C95A30"/>
  <w15:chartTrackingRefBased/>
  <w15:docId w15:val="{48CBF33C-CC24-3142-9EB8-0FC93C63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6E52"/>
    <w:pPr>
      <w:spacing w:line="240" w:lineRule="auto"/>
    </w:pPr>
    <w:rPr>
      <w:rFonts w:ascii="Calibri Light" w:hAnsi="Calibri Light"/>
      <w:kern w:val="0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A6321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6E5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86E52"/>
    <w:rPr>
      <w:rFonts w:ascii="Calibri Light" w:hAnsi="Calibri Light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6E5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86E52"/>
    <w:rPr>
      <w:rFonts w:ascii="Calibri Light" w:hAnsi="Calibri Light"/>
      <w:kern w:val="0"/>
      <w14:ligatures w14:val="none"/>
    </w:rPr>
  </w:style>
  <w:style w:type="table" w:styleId="Tabellenraster">
    <w:name w:val="Table Grid"/>
    <w:basedOn w:val="NormaleTabelle"/>
    <w:uiPriority w:val="39"/>
    <w:rsid w:val="0042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bsatz-Standardschriftart"/>
    <w:rsid w:val="004D326B"/>
  </w:style>
  <w:style w:type="paragraph" w:customStyle="1" w:styleId="Default">
    <w:name w:val="Default"/>
    <w:rsid w:val="0019312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:lang w:val="de-DE"/>
      <w14:ligatures w14:val="none"/>
    </w:rPr>
  </w:style>
  <w:style w:type="paragraph" w:customStyle="1" w:styleId="A31bDEArtikelFliesstextohneEinzugx08DEUTSCHneuA30DEFliesstext">
    <w:name w:val="A31bDE_Artikel_Fliesstext_ohne_Einzug_x08 (DEUTSCH_neu:A30DE_Fliesstext)"/>
    <w:basedOn w:val="Standard"/>
    <w:next w:val="A31aDEArtikelFliesstextx08DEUTSCHneuA30DEFliesstext"/>
    <w:uiPriority w:val="99"/>
    <w:rsid w:val="0019312D"/>
    <w:pPr>
      <w:autoSpaceDE w:val="0"/>
      <w:autoSpaceDN w:val="0"/>
      <w:adjustRightInd w:val="0"/>
      <w:spacing w:before="57" w:after="0" w:line="220" w:lineRule="atLeast"/>
      <w:jc w:val="both"/>
      <w:textAlignment w:val="center"/>
    </w:pPr>
    <w:rPr>
      <w:rFonts w:ascii="Chronicle Text G2" w:hAnsi="Chronicle Text G2" w:cs="Chronicle Text G2"/>
      <w:color w:val="000000"/>
      <w:sz w:val="18"/>
      <w:szCs w:val="18"/>
    </w:rPr>
  </w:style>
  <w:style w:type="paragraph" w:customStyle="1" w:styleId="A31aDEArtikelFliesstextx08DEUTSCHneuA30DEFliesstext">
    <w:name w:val="A31aDE_Artikel_Fliesstext_x08 (DEUTSCH_neu:A30DE_Fliesstext)"/>
    <w:basedOn w:val="Standard"/>
    <w:uiPriority w:val="99"/>
    <w:rsid w:val="0019312D"/>
    <w:pPr>
      <w:autoSpaceDE w:val="0"/>
      <w:autoSpaceDN w:val="0"/>
      <w:adjustRightInd w:val="0"/>
      <w:spacing w:after="0" w:line="220" w:lineRule="atLeast"/>
      <w:ind w:firstLine="283"/>
      <w:jc w:val="both"/>
      <w:textAlignment w:val="center"/>
    </w:pPr>
    <w:rPr>
      <w:rFonts w:ascii="Chronicle Text G2" w:hAnsi="Chronicle Text G2" w:cs="Chronicle Text G2"/>
      <w:color w:val="000000"/>
      <w:sz w:val="18"/>
      <w:szCs w:val="18"/>
    </w:rPr>
  </w:style>
  <w:style w:type="paragraph" w:customStyle="1" w:styleId="A31bDEArtikelFliesstextohneEinzugx08DEUTSCHA30DEFliesstext">
    <w:name w:val="A31bDE_Artikel_Fliesstext_ohne_Einzug_x08 (DEUTSCH:A30DE_Fliesstext)"/>
    <w:basedOn w:val="Standard"/>
    <w:next w:val="A31aDEArtikelFliesstextx08DEUTSCHA30DEFliesstext"/>
    <w:uiPriority w:val="99"/>
    <w:rsid w:val="00733EA5"/>
    <w:pPr>
      <w:autoSpaceDE w:val="0"/>
      <w:autoSpaceDN w:val="0"/>
      <w:adjustRightInd w:val="0"/>
      <w:spacing w:before="57" w:after="0" w:line="220" w:lineRule="atLeast"/>
      <w:jc w:val="both"/>
      <w:textAlignment w:val="center"/>
    </w:pPr>
    <w:rPr>
      <w:rFonts w:ascii="Chronicle Text G2" w:hAnsi="Chronicle Text G2" w:cs="Chronicle Text G2"/>
      <w:color w:val="000000"/>
      <w:sz w:val="18"/>
      <w:szCs w:val="18"/>
      <w14:ligatures w14:val="standardContextual"/>
    </w:rPr>
  </w:style>
  <w:style w:type="paragraph" w:customStyle="1" w:styleId="A31aDEArtikelFliesstextx08DEUTSCHA30DEFliesstext">
    <w:name w:val="A31aDE_Artikel_Fliesstext_x08 (DEUTSCH:A30DE_Fliesstext)"/>
    <w:basedOn w:val="Standard"/>
    <w:uiPriority w:val="99"/>
    <w:rsid w:val="00733EA5"/>
    <w:pPr>
      <w:autoSpaceDE w:val="0"/>
      <w:autoSpaceDN w:val="0"/>
      <w:adjustRightInd w:val="0"/>
      <w:spacing w:after="0" w:line="220" w:lineRule="atLeast"/>
      <w:ind w:firstLine="283"/>
      <w:jc w:val="both"/>
      <w:textAlignment w:val="center"/>
    </w:pPr>
    <w:rPr>
      <w:rFonts w:ascii="Chronicle Text G2" w:hAnsi="Chronicle Text G2" w:cs="Chronicle Text G2"/>
      <w:color w:val="000000"/>
      <w:sz w:val="18"/>
      <w:szCs w:val="18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3213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A63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63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gastrounion.ch/de/hgu/media/aktuelle-bilder-fuer-medienpartn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hw/ndkmlqc15b97852wf4dw53ym0000gp/T/com.microsoft.Outlook/Outlook%20Temp/hgu_Briefvorlage_de%5b1%5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6A6E-4BBB-40E1-87BB-8AB88FF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hgu_Briefvorlage_de[1].dotx</Template>
  <TotalTime>0</TotalTime>
  <Pages>2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&amp; Gastro Union Luzern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Ruppelt Jörg</cp:lastModifiedBy>
  <cp:revision>2</cp:revision>
  <cp:lastPrinted>2023-04-21T14:12:00Z</cp:lastPrinted>
  <dcterms:created xsi:type="dcterms:W3CDTF">2025-09-24T08:28:00Z</dcterms:created>
  <dcterms:modified xsi:type="dcterms:W3CDTF">2025-09-24T08:28:00Z</dcterms:modified>
</cp:coreProperties>
</file>